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化学化工学院20</w:t>
      </w:r>
      <w:r>
        <w:rPr>
          <w:rFonts w:hint="eastAsia" w:ascii="仿宋" w:hAnsi="仿宋" w:eastAsia="仿宋"/>
          <w:b/>
          <w:sz w:val="36"/>
          <w:szCs w:val="36"/>
          <w:lang w:val="en-US" w:eastAsia="zh-CN"/>
        </w:rPr>
        <w:t>22</w:t>
      </w:r>
      <w:r>
        <w:rPr>
          <w:rFonts w:hint="eastAsia" w:ascii="仿宋" w:hAnsi="仿宋" w:eastAsia="仿宋"/>
          <w:b/>
          <w:sz w:val="36"/>
          <w:szCs w:val="36"/>
        </w:rPr>
        <w:t>级全日制非定向硕士研究生</w:t>
      </w:r>
    </w:p>
    <w:p>
      <w:pPr>
        <w:jc w:val="center"/>
        <w:rPr>
          <w:rFonts w:ascii="仿宋" w:hAnsi="仿宋" w:eastAsia="仿宋"/>
          <w:b/>
          <w:sz w:val="36"/>
          <w:szCs w:val="36"/>
        </w:rPr>
      </w:pPr>
      <w:r>
        <w:rPr>
          <w:rFonts w:hint="eastAsia" w:ascii="仿宋" w:hAnsi="仿宋" w:eastAsia="仿宋"/>
          <w:b/>
          <w:sz w:val="36"/>
          <w:szCs w:val="36"/>
        </w:rPr>
        <w:t>新生学业奖学金评审办法</w:t>
      </w:r>
    </w:p>
    <w:p>
      <w:pPr>
        <w:rPr>
          <w:rFonts w:ascii="仿宋" w:hAnsi="仿宋" w:eastAsia="仿宋"/>
          <w:b/>
          <w:sz w:val="30"/>
          <w:szCs w:val="30"/>
        </w:rPr>
      </w:pPr>
      <w:r>
        <w:rPr>
          <w:rFonts w:hint="eastAsia" w:ascii="仿宋" w:hAnsi="仿宋" w:eastAsia="仿宋"/>
          <w:b/>
          <w:sz w:val="30"/>
          <w:szCs w:val="30"/>
        </w:rPr>
        <w:t>一、评审原则</w:t>
      </w:r>
    </w:p>
    <w:p>
      <w:pPr>
        <w:numPr>
          <w:ilvl w:val="0"/>
          <w:numId w:val="1"/>
        </w:numPr>
        <w:ind w:hanging="357"/>
        <w:rPr>
          <w:rFonts w:ascii="仿宋" w:hAnsi="仿宋" w:eastAsia="仿宋"/>
          <w:sz w:val="30"/>
          <w:szCs w:val="30"/>
        </w:rPr>
      </w:pPr>
      <w:r>
        <w:rPr>
          <w:rFonts w:hint="eastAsia" w:ascii="仿宋" w:hAnsi="仿宋" w:eastAsia="仿宋" w:cs="仿宋"/>
          <w:sz w:val="28"/>
          <w:szCs w:val="28"/>
        </w:rPr>
        <w:t>成立院评审委员会：院长任委员会主席，主管研究生工作副院长任副主席，成员由学院分学位委员会成员组成；</w:t>
      </w:r>
      <w:bookmarkStart w:id="0" w:name="_GoBack"/>
      <w:bookmarkEnd w:id="0"/>
    </w:p>
    <w:p>
      <w:pPr>
        <w:numPr>
          <w:ilvl w:val="0"/>
          <w:numId w:val="1"/>
        </w:numPr>
        <w:ind w:hanging="357"/>
        <w:rPr>
          <w:rFonts w:ascii="仿宋" w:hAnsi="仿宋" w:eastAsia="仿宋"/>
          <w:sz w:val="30"/>
          <w:szCs w:val="30"/>
        </w:rPr>
      </w:pPr>
      <w:r>
        <w:rPr>
          <w:rFonts w:hint="eastAsia" w:ascii="仿宋" w:hAnsi="仿宋" w:eastAsia="仿宋"/>
          <w:sz w:val="30"/>
          <w:szCs w:val="30"/>
        </w:rPr>
        <w:t>评审时间：2</w:t>
      </w:r>
      <w:r>
        <w:rPr>
          <w:rFonts w:ascii="仿宋" w:hAnsi="仿宋" w:eastAsia="仿宋"/>
          <w:sz w:val="30"/>
          <w:szCs w:val="30"/>
        </w:rPr>
        <w:t>02</w:t>
      </w:r>
      <w:r>
        <w:rPr>
          <w:rFonts w:hint="eastAsia" w:ascii="仿宋" w:hAnsi="仿宋" w:eastAsia="仿宋"/>
          <w:sz w:val="30"/>
          <w:szCs w:val="30"/>
          <w:lang w:val="en-US" w:eastAsia="zh-CN"/>
        </w:rPr>
        <w:t>2</w:t>
      </w:r>
      <w:r>
        <w:rPr>
          <w:rFonts w:hint="eastAsia" w:ascii="仿宋" w:hAnsi="仿宋" w:eastAsia="仿宋"/>
          <w:sz w:val="30"/>
          <w:szCs w:val="30"/>
        </w:rPr>
        <w:t>年1</w:t>
      </w:r>
      <w:r>
        <w:rPr>
          <w:rFonts w:ascii="仿宋" w:hAnsi="仿宋" w:eastAsia="仿宋"/>
          <w:sz w:val="30"/>
          <w:szCs w:val="30"/>
        </w:rPr>
        <w:t>1</w:t>
      </w:r>
      <w:r>
        <w:rPr>
          <w:rFonts w:hint="eastAsia" w:ascii="仿宋" w:hAnsi="仿宋" w:eastAsia="仿宋"/>
          <w:sz w:val="30"/>
          <w:szCs w:val="30"/>
        </w:rPr>
        <w:t>月1</w:t>
      </w:r>
      <w:r>
        <w:rPr>
          <w:rFonts w:ascii="仿宋" w:hAnsi="仿宋" w:eastAsia="仿宋"/>
          <w:sz w:val="30"/>
          <w:szCs w:val="30"/>
        </w:rPr>
        <w:t>0</w:t>
      </w:r>
      <w:r>
        <w:rPr>
          <w:rFonts w:hint="eastAsia" w:ascii="仿宋" w:hAnsi="仿宋" w:eastAsia="仿宋"/>
          <w:sz w:val="30"/>
          <w:szCs w:val="30"/>
        </w:rPr>
        <w:t>日前</w:t>
      </w:r>
    </w:p>
    <w:p>
      <w:pPr>
        <w:numPr>
          <w:ilvl w:val="0"/>
          <w:numId w:val="1"/>
        </w:numPr>
        <w:ind w:hanging="357"/>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研究生院下发各等级名额：根据招生录取总人数（包含推免生和统考生），按照一等奖30%，二等奖70%划分各等级名额</w:t>
      </w:r>
    </w:p>
    <w:p>
      <w:pPr>
        <w:numPr>
          <w:ilvl w:val="0"/>
          <w:numId w:val="1"/>
        </w:numPr>
        <w:ind w:hanging="357"/>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评审标准：</w:t>
      </w:r>
    </w:p>
    <w:p>
      <w:pPr>
        <w:ind w:firstLine="300" w:firstLineChars="1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fldChar w:fldCharType="begin"/>
      </w:r>
      <w:r>
        <w:rPr>
          <w:rFonts w:ascii="仿宋" w:hAnsi="仿宋" w:eastAsia="仿宋"/>
          <w:color w:val="000000" w:themeColor="text1"/>
          <w:sz w:val="30"/>
          <w:szCs w:val="30"/>
          <w14:textFill>
            <w14:solidFill>
              <w14:schemeClr w14:val="tx1"/>
            </w14:solidFill>
          </w14:textFill>
        </w:rPr>
        <w:instrText xml:space="preserve"> </w:instrText>
      </w:r>
      <w:r>
        <w:rPr>
          <w:rFonts w:hint="eastAsia" w:ascii="仿宋" w:hAnsi="仿宋" w:eastAsia="仿宋"/>
          <w:color w:val="000000" w:themeColor="text1"/>
          <w:sz w:val="30"/>
          <w:szCs w:val="30"/>
          <w14:textFill>
            <w14:solidFill>
              <w14:schemeClr w14:val="tx1"/>
            </w14:solidFill>
          </w14:textFill>
        </w:rPr>
        <w:instrText xml:space="preserve">= 1 \* GB3</w:instrText>
      </w:r>
      <w:r>
        <w:rPr>
          <w:rFonts w:ascii="仿宋" w:hAnsi="仿宋" w:eastAsia="仿宋"/>
          <w:color w:val="000000" w:themeColor="text1"/>
          <w:sz w:val="30"/>
          <w:szCs w:val="30"/>
          <w14:textFill>
            <w14:solidFill>
              <w14:schemeClr w14:val="tx1"/>
            </w14:solidFill>
          </w14:textFill>
        </w:rPr>
        <w:instrText xml:space="preserve"> </w:instrText>
      </w:r>
      <w:r>
        <w:rPr>
          <w:rFonts w:ascii="仿宋" w:hAnsi="仿宋" w:eastAsia="仿宋"/>
          <w:color w:val="000000" w:themeColor="text1"/>
          <w:sz w:val="30"/>
          <w:szCs w:val="30"/>
          <w14:textFill>
            <w14:solidFill>
              <w14:schemeClr w14:val="tx1"/>
            </w14:solidFill>
          </w14:textFill>
        </w:rPr>
        <w:fldChar w:fldCharType="separate"/>
      </w:r>
      <w:r>
        <w:rPr>
          <w:rFonts w:hint="eastAsia" w:ascii="仿宋" w:hAnsi="仿宋" w:eastAsia="仿宋"/>
          <w:color w:val="000000" w:themeColor="text1"/>
          <w:sz w:val="30"/>
          <w:szCs w:val="30"/>
          <w14:textFill>
            <w14:solidFill>
              <w14:schemeClr w14:val="tx1"/>
            </w14:solidFill>
          </w14:textFill>
        </w:rPr>
        <w:t>①</w:t>
      </w:r>
      <w:r>
        <w:rPr>
          <w:rFonts w:ascii="仿宋" w:hAnsi="仿宋" w:eastAsia="仿宋"/>
          <w:color w:val="000000" w:themeColor="text1"/>
          <w:sz w:val="30"/>
          <w:szCs w:val="30"/>
          <w14:textFill>
            <w14:solidFill>
              <w14:schemeClr w14:val="tx1"/>
            </w14:solidFill>
          </w14:textFill>
        </w:rPr>
        <w:fldChar w:fldCharType="end"/>
      </w:r>
      <w:r>
        <w:rPr>
          <w:rFonts w:hint="eastAsia" w:ascii="仿宋" w:hAnsi="仿宋" w:eastAsia="仿宋"/>
          <w:color w:val="000000" w:themeColor="text1"/>
          <w:sz w:val="30"/>
          <w:szCs w:val="30"/>
          <w14:textFill>
            <w14:solidFill>
              <w14:schemeClr w14:val="tx1"/>
            </w14:solidFill>
          </w14:textFill>
        </w:rPr>
        <w:t>按照硕士入学考试的总成绩（推免生为</w:t>
      </w:r>
      <w:r>
        <w:rPr>
          <w:rFonts w:hint="eastAsia" w:ascii="仿宋" w:hAnsi="仿宋" w:eastAsia="仿宋"/>
          <w:color w:val="000000" w:themeColor="text1"/>
          <w:sz w:val="30"/>
          <w:szCs w:val="30"/>
          <w:lang w:val="en-US" w:eastAsia="zh-CN"/>
          <w14:textFill>
            <w14:solidFill>
              <w14:schemeClr w14:val="tx1"/>
            </w14:solidFill>
          </w14:textFill>
        </w:rPr>
        <w:t>复试</w:t>
      </w:r>
      <w:r>
        <w:rPr>
          <w:rFonts w:hint="eastAsia" w:ascii="仿宋" w:hAnsi="仿宋" w:eastAsia="仿宋"/>
          <w:color w:val="000000" w:themeColor="text1"/>
          <w:sz w:val="30"/>
          <w:szCs w:val="30"/>
          <w14:textFill>
            <w14:solidFill>
              <w14:schemeClr w14:val="tx1"/>
            </w14:solidFill>
          </w14:textFill>
        </w:rPr>
        <w:t>总成绩</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统考生为初试+复试总成绩）进行排序。排序将依照三个专业方向（四大化学、高分子、化工）分别进行，每个专业的推免生和统考生分别排序</w:t>
      </w:r>
      <w:r>
        <w:rPr>
          <w:rFonts w:hint="eastAsia" w:ascii="仿宋" w:hAnsi="仿宋" w:eastAsia="仿宋"/>
          <w:color w:val="000000" w:themeColor="text1"/>
          <w:sz w:val="30"/>
          <w:szCs w:val="30"/>
          <w:lang w:eastAsia="zh-CN"/>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夏令营考生与预推免考生分别排序</w:t>
      </w:r>
      <w:r>
        <w:rPr>
          <w:rFonts w:hint="eastAsia" w:ascii="仿宋" w:hAnsi="仿宋" w:eastAsia="仿宋"/>
          <w:color w:val="000000" w:themeColor="text1"/>
          <w:sz w:val="30"/>
          <w:szCs w:val="30"/>
          <w14:textFill>
            <w14:solidFill>
              <w14:schemeClr w14:val="tx1"/>
            </w14:solidFill>
          </w14:textFill>
        </w:rPr>
        <w:t>；全日制专业学位硕士生将按照录取时划分的专业方向分别参加到上述三个专业的排序当中；</w:t>
      </w:r>
    </w:p>
    <w:p>
      <w:pPr>
        <w:ind w:firstLine="300" w:firstLineChars="1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fldChar w:fldCharType="begin"/>
      </w:r>
      <w:r>
        <w:rPr>
          <w:rFonts w:ascii="仿宋" w:hAnsi="仿宋" w:eastAsia="仿宋"/>
          <w:color w:val="000000" w:themeColor="text1"/>
          <w:sz w:val="30"/>
          <w:szCs w:val="30"/>
          <w14:textFill>
            <w14:solidFill>
              <w14:schemeClr w14:val="tx1"/>
            </w14:solidFill>
          </w14:textFill>
        </w:rPr>
        <w:instrText xml:space="preserve"> </w:instrText>
      </w:r>
      <w:r>
        <w:rPr>
          <w:rFonts w:hint="eastAsia" w:ascii="仿宋" w:hAnsi="仿宋" w:eastAsia="仿宋"/>
          <w:color w:val="000000" w:themeColor="text1"/>
          <w:sz w:val="30"/>
          <w:szCs w:val="30"/>
          <w14:textFill>
            <w14:solidFill>
              <w14:schemeClr w14:val="tx1"/>
            </w14:solidFill>
          </w14:textFill>
        </w:rPr>
        <w:instrText xml:space="preserve">= 2 \* GB3</w:instrText>
      </w:r>
      <w:r>
        <w:rPr>
          <w:rFonts w:ascii="仿宋" w:hAnsi="仿宋" w:eastAsia="仿宋"/>
          <w:color w:val="000000" w:themeColor="text1"/>
          <w:sz w:val="30"/>
          <w:szCs w:val="30"/>
          <w14:textFill>
            <w14:solidFill>
              <w14:schemeClr w14:val="tx1"/>
            </w14:solidFill>
          </w14:textFill>
        </w:rPr>
        <w:instrText xml:space="preserve"> </w:instrText>
      </w:r>
      <w:r>
        <w:rPr>
          <w:rFonts w:ascii="仿宋" w:hAnsi="仿宋" w:eastAsia="仿宋"/>
          <w:color w:val="000000" w:themeColor="text1"/>
          <w:sz w:val="30"/>
          <w:szCs w:val="30"/>
          <w14:textFill>
            <w14:solidFill>
              <w14:schemeClr w14:val="tx1"/>
            </w14:solidFill>
          </w14:textFill>
        </w:rPr>
        <w:fldChar w:fldCharType="separate"/>
      </w:r>
      <w:r>
        <w:rPr>
          <w:rFonts w:hint="eastAsia" w:ascii="仿宋" w:hAnsi="仿宋" w:eastAsia="仿宋"/>
          <w:color w:val="000000" w:themeColor="text1"/>
          <w:sz w:val="30"/>
          <w:szCs w:val="30"/>
          <w14:textFill>
            <w14:solidFill>
              <w14:schemeClr w14:val="tx1"/>
            </w14:solidFill>
          </w14:textFill>
        </w:rPr>
        <w:t>②</w:t>
      </w:r>
      <w:r>
        <w:rPr>
          <w:rFonts w:ascii="仿宋" w:hAnsi="仿宋" w:eastAsia="仿宋"/>
          <w:color w:val="000000" w:themeColor="text1"/>
          <w:sz w:val="30"/>
          <w:szCs w:val="30"/>
          <w14:textFill>
            <w14:solidFill>
              <w14:schemeClr w14:val="tx1"/>
            </w14:solidFill>
          </w14:textFill>
        </w:rPr>
        <w:fldChar w:fldCharType="end"/>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如排序时遇到总成绩相同的情况，则本科专业排名名次较高者可优先评为高等级奖项；</w:t>
      </w:r>
    </w:p>
    <w:p>
      <w:pPr>
        <w:ind w:firstLine="300" w:firstLineChars="10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fldChar w:fldCharType="begin"/>
      </w:r>
      <w:r>
        <w:rPr>
          <w:rFonts w:ascii="仿宋" w:hAnsi="仿宋" w:eastAsia="仿宋"/>
          <w:color w:val="000000" w:themeColor="text1"/>
          <w:sz w:val="30"/>
          <w:szCs w:val="30"/>
          <w14:textFill>
            <w14:solidFill>
              <w14:schemeClr w14:val="tx1"/>
            </w14:solidFill>
          </w14:textFill>
        </w:rPr>
        <w:instrText xml:space="preserve"> </w:instrText>
      </w:r>
      <w:r>
        <w:rPr>
          <w:rFonts w:hint="eastAsia" w:ascii="仿宋" w:hAnsi="仿宋" w:eastAsia="仿宋"/>
          <w:color w:val="000000" w:themeColor="text1"/>
          <w:sz w:val="30"/>
          <w:szCs w:val="30"/>
          <w14:textFill>
            <w14:solidFill>
              <w14:schemeClr w14:val="tx1"/>
            </w14:solidFill>
          </w14:textFill>
        </w:rPr>
        <w:instrText xml:space="preserve">= 3 \* GB3</w:instrText>
      </w:r>
      <w:r>
        <w:rPr>
          <w:rFonts w:ascii="仿宋" w:hAnsi="仿宋" w:eastAsia="仿宋"/>
          <w:color w:val="000000" w:themeColor="text1"/>
          <w:sz w:val="30"/>
          <w:szCs w:val="30"/>
          <w14:textFill>
            <w14:solidFill>
              <w14:schemeClr w14:val="tx1"/>
            </w14:solidFill>
          </w14:textFill>
        </w:rPr>
        <w:instrText xml:space="preserve"> </w:instrText>
      </w:r>
      <w:r>
        <w:rPr>
          <w:rFonts w:ascii="仿宋" w:hAnsi="仿宋" w:eastAsia="仿宋"/>
          <w:color w:val="000000" w:themeColor="text1"/>
          <w:sz w:val="30"/>
          <w:szCs w:val="30"/>
          <w14:textFill>
            <w14:solidFill>
              <w14:schemeClr w14:val="tx1"/>
            </w14:solidFill>
          </w14:textFill>
        </w:rPr>
        <w:fldChar w:fldCharType="separate"/>
      </w:r>
      <w:r>
        <w:rPr>
          <w:rFonts w:hint="eastAsia" w:ascii="仿宋" w:hAnsi="仿宋" w:eastAsia="仿宋"/>
          <w:color w:val="000000" w:themeColor="text1"/>
          <w:sz w:val="30"/>
          <w:szCs w:val="30"/>
          <w14:textFill>
            <w14:solidFill>
              <w14:schemeClr w14:val="tx1"/>
            </w14:solidFill>
          </w14:textFill>
        </w:rPr>
        <w:t>③</w:t>
      </w:r>
      <w:r>
        <w:rPr>
          <w:rFonts w:ascii="仿宋" w:hAnsi="仿宋" w:eastAsia="仿宋"/>
          <w:color w:val="000000" w:themeColor="text1"/>
          <w:sz w:val="30"/>
          <w:szCs w:val="30"/>
          <w14:textFill>
            <w14:solidFill>
              <w14:schemeClr w14:val="tx1"/>
            </w14:solidFill>
          </w14:textFill>
        </w:rPr>
        <w:fldChar w:fldCharType="end"/>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调剂录取考生不得评为一等奖学金。</w:t>
      </w:r>
    </w:p>
    <w:p>
      <w:pPr>
        <w:numPr>
          <w:ilvl w:val="0"/>
          <w:numId w:val="1"/>
        </w:numPr>
        <w:ind w:hanging="357"/>
        <w:rPr>
          <w:rFonts w:ascii="仿宋" w:hAnsi="仿宋" w:eastAsia="仿宋"/>
          <w:b/>
          <w:sz w:val="30"/>
          <w:szCs w:val="30"/>
        </w:rPr>
      </w:pPr>
      <w:r>
        <w:rPr>
          <w:rFonts w:hint="eastAsia" w:ascii="仿宋" w:hAnsi="仿宋" w:eastAsia="仿宋"/>
          <w:b/>
          <w:sz w:val="30"/>
          <w:szCs w:val="30"/>
        </w:rPr>
        <w:t>评审程序：</w:t>
      </w:r>
    </w:p>
    <w:p>
      <w:pPr>
        <w:numPr>
          <w:ilvl w:val="1"/>
          <w:numId w:val="1"/>
        </w:numPr>
        <w:ind w:hanging="357"/>
        <w:rPr>
          <w:rFonts w:ascii="仿宋" w:hAnsi="仿宋" w:eastAsia="仿宋"/>
          <w:sz w:val="30"/>
          <w:szCs w:val="30"/>
        </w:rPr>
      </w:pPr>
      <w:r>
        <w:rPr>
          <w:rFonts w:hint="eastAsia" w:ascii="仿宋" w:hAnsi="仿宋" w:eastAsia="仿宋"/>
          <w:sz w:val="30"/>
          <w:szCs w:val="30"/>
        </w:rPr>
        <w:t>将本评审办法在学院网站进行公示；</w:t>
      </w:r>
    </w:p>
    <w:p>
      <w:pPr>
        <w:numPr>
          <w:ilvl w:val="1"/>
          <w:numId w:val="1"/>
        </w:numPr>
        <w:ind w:hanging="357"/>
        <w:rPr>
          <w:rFonts w:ascii="仿宋" w:hAnsi="仿宋" w:eastAsia="仿宋"/>
          <w:sz w:val="30"/>
          <w:szCs w:val="30"/>
        </w:rPr>
      </w:pPr>
      <w:r>
        <w:rPr>
          <w:rFonts w:hint="eastAsia" w:ascii="仿宋" w:hAnsi="仿宋" w:eastAsia="仿宋"/>
          <w:sz w:val="30"/>
          <w:szCs w:val="30"/>
        </w:rPr>
        <w:t>按照评审标准进行排序，依据名额划分的原则确定各等级学业奖学金评选名单；</w:t>
      </w:r>
    </w:p>
    <w:p>
      <w:pPr>
        <w:numPr>
          <w:ilvl w:val="1"/>
          <w:numId w:val="1"/>
        </w:numPr>
        <w:ind w:hanging="357"/>
        <w:rPr>
          <w:rFonts w:ascii="仿宋" w:hAnsi="仿宋" w:eastAsia="仿宋"/>
          <w:sz w:val="30"/>
          <w:szCs w:val="30"/>
        </w:rPr>
      </w:pPr>
      <w:r>
        <w:rPr>
          <w:rFonts w:hint="eastAsia" w:ascii="仿宋" w:hAnsi="仿宋" w:eastAsia="仿宋"/>
          <w:sz w:val="30"/>
          <w:szCs w:val="30"/>
        </w:rPr>
        <w:t>公示评审结果（学院主页公示一周）；</w:t>
      </w:r>
    </w:p>
    <w:p>
      <w:pPr>
        <w:numPr>
          <w:ilvl w:val="1"/>
          <w:numId w:val="1"/>
        </w:numPr>
        <w:ind w:hanging="357"/>
        <w:rPr>
          <w:rFonts w:ascii="仿宋" w:hAnsi="仿宋" w:eastAsia="仿宋"/>
          <w:sz w:val="30"/>
          <w:szCs w:val="30"/>
        </w:rPr>
      </w:pPr>
      <w:r>
        <w:rPr>
          <w:rFonts w:hint="eastAsia" w:ascii="仿宋" w:hAnsi="仿宋" w:eastAsia="仿宋"/>
          <w:sz w:val="30"/>
          <w:szCs w:val="30"/>
        </w:rPr>
        <w:t>在公示期内，如学生对评审结果有异议可以向院评审委员会提出申诉，由评审委员会进行审议；</w:t>
      </w:r>
    </w:p>
    <w:p>
      <w:pPr>
        <w:numPr>
          <w:ilvl w:val="1"/>
          <w:numId w:val="1"/>
        </w:numPr>
        <w:ind w:hanging="357"/>
        <w:rPr>
          <w:rFonts w:ascii="仿宋" w:hAnsi="仿宋" w:eastAsia="仿宋"/>
          <w:sz w:val="30"/>
          <w:szCs w:val="30"/>
        </w:rPr>
      </w:pPr>
      <w:r>
        <w:rPr>
          <w:rFonts w:hint="eastAsia" w:ascii="仿宋" w:hAnsi="仿宋" w:eastAsia="仿宋"/>
          <w:sz w:val="30"/>
          <w:szCs w:val="30"/>
        </w:rPr>
        <w:t>上报评审结果；</w:t>
      </w:r>
    </w:p>
    <w:p>
      <w:pPr>
        <w:numPr>
          <w:ilvl w:val="1"/>
          <w:numId w:val="1"/>
        </w:numPr>
        <w:ind w:hanging="357"/>
        <w:rPr>
          <w:rFonts w:ascii="仿宋" w:hAnsi="仿宋" w:eastAsia="仿宋"/>
          <w:sz w:val="30"/>
          <w:szCs w:val="30"/>
        </w:rPr>
      </w:pPr>
      <w:r>
        <w:rPr>
          <w:rFonts w:hint="eastAsia" w:ascii="仿宋" w:hAnsi="仿宋" w:eastAsia="仿宋"/>
          <w:sz w:val="30"/>
          <w:szCs w:val="30"/>
        </w:rPr>
        <w:t>研究生院根据学院上报的评审结果将各等级学业奖学金名单告知财务计划处，按照等级标准发放奖学金。</w:t>
      </w:r>
    </w:p>
    <w:p>
      <w:pPr>
        <w:ind w:left="780"/>
        <w:rPr>
          <w:rFonts w:ascii="仿宋" w:hAnsi="仿宋" w:eastAsia="仿宋"/>
          <w:sz w:val="30"/>
          <w:szCs w:val="30"/>
        </w:rPr>
      </w:pPr>
    </w:p>
    <w:p>
      <w:pPr>
        <w:jc w:val="left"/>
        <w:rPr>
          <w:rFonts w:ascii="仿宋" w:hAnsi="仿宋" w:eastAsia="仿宋"/>
          <w:b/>
          <w:sz w:val="30"/>
          <w:szCs w:val="30"/>
        </w:rPr>
      </w:pPr>
      <w:r>
        <w:rPr>
          <w:rFonts w:hint="eastAsia" w:ascii="仿宋" w:hAnsi="仿宋" w:eastAsia="仿宋"/>
          <w:b/>
          <w:sz w:val="30"/>
          <w:szCs w:val="30"/>
        </w:rPr>
        <w:t>二、奖学金等级标准及名额分配（共</w:t>
      </w:r>
      <w:r>
        <w:rPr>
          <w:rFonts w:hint="eastAsia" w:ascii="仿宋" w:hAnsi="仿宋" w:eastAsia="仿宋"/>
          <w:b/>
          <w:sz w:val="30"/>
          <w:szCs w:val="30"/>
          <w:lang w:val="en-US" w:eastAsia="zh-CN"/>
        </w:rPr>
        <w:t>72</w:t>
      </w:r>
      <w:r>
        <w:rPr>
          <w:rFonts w:hint="eastAsia" w:ascii="仿宋" w:hAnsi="仿宋" w:eastAsia="仿宋"/>
          <w:b/>
          <w:sz w:val="30"/>
          <w:szCs w:val="30"/>
        </w:rPr>
        <w:t>人参评）</w:t>
      </w:r>
    </w:p>
    <w:tbl>
      <w:tblPr>
        <w:tblStyle w:val="5"/>
        <w:tblpPr w:leftFromText="180" w:rightFromText="180" w:vertAnchor="text" w:horzAnchor="page" w:tblpX="2313" w:tblpY="337"/>
        <w:tblW w:w="7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1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ascii="仿宋" w:hAnsi="仿宋" w:eastAsia="仿宋"/>
                <w:b/>
                <w:sz w:val="30"/>
                <w:szCs w:val="30"/>
              </w:rPr>
            </w:pPr>
            <w:r>
              <w:rPr>
                <w:rFonts w:hint="eastAsia" w:ascii="仿宋" w:hAnsi="仿宋" w:eastAsia="仿宋"/>
                <w:b/>
                <w:sz w:val="30"/>
                <w:szCs w:val="30"/>
              </w:rPr>
              <w:t>等级</w:t>
            </w:r>
          </w:p>
        </w:tc>
        <w:tc>
          <w:tcPr>
            <w:tcW w:w="2127" w:type="dxa"/>
          </w:tcPr>
          <w:p>
            <w:pPr>
              <w:jc w:val="center"/>
              <w:rPr>
                <w:rFonts w:ascii="仿宋" w:hAnsi="仿宋" w:eastAsia="仿宋"/>
                <w:b/>
                <w:sz w:val="30"/>
                <w:szCs w:val="30"/>
              </w:rPr>
            </w:pPr>
            <w:r>
              <w:rPr>
                <w:rFonts w:hint="eastAsia" w:ascii="仿宋" w:hAnsi="仿宋" w:eastAsia="仿宋"/>
                <w:b/>
                <w:sz w:val="30"/>
                <w:szCs w:val="30"/>
              </w:rPr>
              <w:t>总人数</w:t>
            </w:r>
          </w:p>
        </w:tc>
        <w:tc>
          <w:tcPr>
            <w:tcW w:w="3118" w:type="dxa"/>
          </w:tcPr>
          <w:p>
            <w:pPr>
              <w:jc w:val="center"/>
              <w:rPr>
                <w:rFonts w:ascii="仿宋" w:hAnsi="仿宋" w:eastAsia="仿宋"/>
                <w:b/>
                <w:sz w:val="30"/>
                <w:szCs w:val="30"/>
              </w:rPr>
            </w:pPr>
            <w:r>
              <w:rPr>
                <w:rFonts w:hint="eastAsia" w:ascii="仿宋" w:hAnsi="仿宋" w:eastAsia="仿宋"/>
                <w:b/>
                <w:sz w:val="30"/>
                <w:szCs w:val="30"/>
              </w:rPr>
              <w:t>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restart"/>
          </w:tcPr>
          <w:p>
            <w:pPr>
              <w:jc w:val="center"/>
              <w:rPr>
                <w:rFonts w:ascii="仿宋" w:hAnsi="仿宋" w:eastAsia="仿宋"/>
                <w:b/>
                <w:sz w:val="30"/>
                <w:szCs w:val="30"/>
              </w:rPr>
            </w:pPr>
            <w:r>
              <w:rPr>
                <w:rFonts w:hint="eastAsia" w:ascii="仿宋" w:hAnsi="仿宋" w:eastAsia="仿宋"/>
                <w:b/>
                <w:sz w:val="30"/>
                <w:szCs w:val="30"/>
              </w:rPr>
              <w:t>一等</w:t>
            </w:r>
          </w:p>
        </w:tc>
        <w:tc>
          <w:tcPr>
            <w:tcW w:w="2127" w:type="dxa"/>
            <w:vMerge w:val="restart"/>
          </w:tcPr>
          <w:p>
            <w:pPr>
              <w:jc w:val="center"/>
              <w:rPr>
                <w:rFonts w:hint="eastAsia" w:ascii="仿宋" w:hAnsi="仿宋" w:eastAsia="仿宋"/>
                <w:b/>
                <w:sz w:val="30"/>
                <w:szCs w:val="30"/>
                <w:lang w:val="en-US" w:eastAsia="zh-CN"/>
              </w:rPr>
            </w:pPr>
            <w:r>
              <w:rPr>
                <w:rFonts w:hint="eastAsia" w:ascii="仿宋" w:hAnsi="仿宋" w:eastAsia="仿宋"/>
                <w:b/>
                <w:sz w:val="30"/>
                <w:szCs w:val="30"/>
              </w:rPr>
              <w:t>2</w:t>
            </w:r>
            <w:r>
              <w:rPr>
                <w:rFonts w:hint="eastAsia" w:ascii="仿宋" w:hAnsi="仿宋" w:eastAsia="仿宋"/>
                <w:b/>
                <w:sz w:val="30"/>
                <w:szCs w:val="30"/>
                <w:lang w:val="en-US" w:eastAsia="zh-CN"/>
              </w:rPr>
              <w:t>2</w:t>
            </w:r>
          </w:p>
        </w:tc>
        <w:tc>
          <w:tcPr>
            <w:tcW w:w="3118" w:type="dxa"/>
            <w:vMerge w:val="restart"/>
          </w:tcPr>
          <w:p>
            <w:pPr>
              <w:jc w:val="center"/>
              <w:rPr>
                <w:rFonts w:hint="default" w:ascii="仿宋" w:hAnsi="仿宋" w:eastAsia="仿宋"/>
                <w:b/>
                <w:sz w:val="30"/>
                <w:szCs w:val="30"/>
                <w:lang w:val="en-US" w:eastAsia="zh-CN"/>
              </w:rPr>
            </w:pPr>
            <w:r>
              <w:rPr>
                <w:rFonts w:hint="eastAsia" w:ascii="仿宋" w:hAnsi="仿宋" w:eastAsia="仿宋"/>
                <w:b/>
                <w:sz w:val="30"/>
                <w:szCs w:val="30"/>
              </w:rPr>
              <w:t>1</w:t>
            </w:r>
            <w:r>
              <w:rPr>
                <w:rFonts w:hint="eastAsia" w:ascii="仿宋" w:hAnsi="仿宋" w:eastAsia="仿宋"/>
                <w:b/>
                <w:sz w:val="30"/>
                <w:szCs w:val="30"/>
                <w:lang w:val="en-US" w:eastAsia="zh-CN"/>
              </w:rPr>
              <w:t>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continue"/>
          </w:tcPr>
          <w:p>
            <w:pPr>
              <w:jc w:val="center"/>
              <w:rPr>
                <w:rFonts w:ascii="仿宋" w:hAnsi="仿宋" w:eastAsia="仿宋"/>
                <w:b/>
                <w:sz w:val="30"/>
                <w:szCs w:val="30"/>
              </w:rPr>
            </w:pPr>
          </w:p>
        </w:tc>
        <w:tc>
          <w:tcPr>
            <w:tcW w:w="2127" w:type="dxa"/>
            <w:vMerge w:val="continue"/>
          </w:tcPr>
          <w:p>
            <w:pPr>
              <w:jc w:val="center"/>
              <w:rPr>
                <w:rFonts w:ascii="仿宋" w:hAnsi="仿宋" w:eastAsia="仿宋"/>
                <w:b/>
                <w:sz w:val="30"/>
                <w:szCs w:val="30"/>
              </w:rPr>
            </w:pPr>
          </w:p>
        </w:tc>
        <w:tc>
          <w:tcPr>
            <w:tcW w:w="3118" w:type="dxa"/>
            <w:vMerge w:val="continue"/>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restart"/>
          </w:tcPr>
          <w:p>
            <w:pPr>
              <w:jc w:val="center"/>
              <w:rPr>
                <w:rFonts w:ascii="仿宋" w:hAnsi="仿宋" w:eastAsia="仿宋"/>
                <w:b/>
                <w:sz w:val="30"/>
                <w:szCs w:val="30"/>
              </w:rPr>
            </w:pPr>
            <w:r>
              <w:rPr>
                <w:rFonts w:hint="eastAsia" w:ascii="仿宋" w:hAnsi="仿宋" w:eastAsia="仿宋"/>
                <w:b/>
                <w:sz w:val="30"/>
                <w:szCs w:val="30"/>
              </w:rPr>
              <w:t>二等</w:t>
            </w:r>
          </w:p>
        </w:tc>
        <w:tc>
          <w:tcPr>
            <w:tcW w:w="2127" w:type="dxa"/>
            <w:vMerge w:val="restart"/>
          </w:tcPr>
          <w:p>
            <w:pPr>
              <w:jc w:val="center"/>
              <w:rPr>
                <w:rFonts w:hint="default" w:ascii="仿宋" w:hAnsi="仿宋" w:eastAsia="仿宋"/>
                <w:b/>
                <w:sz w:val="30"/>
                <w:szCs w:val="30"/>
                <w:lang w:val="en-US" w:eastAsia="zh-CN"/>
              </w:rPr>
            </w:pPr>
            <w:r>
              <w:rPr>
                <w:rFonts w:hint="eastAsia" w:ascii="仿宋" w:hAnsi="仿宋" w:eastAsia="仿宋"/>
                <w:b/>
                <w:sz w:val="30"/>
                <w:szCs w:val="30"/>
                <w:lang w:val="en-US" w:eastAsia="zh-CN"/>
              </w:rPr>
              <w:t>50</w:t>
            </w:r>
          </w:p>
        </w:tc>
        <w:tc>
          <w:tcPr>
            <w:tcW w:w="3118" w:type="dxa"/>
            <w:vMerge w:val="restart"/>
          </w:tcPr>
          <w:p>
            <w:pPr>
              <w:jc w:val="center"/>
              <w:rPr>
                <w:rFonts w:hint="eastAsia" w:ascii="仿宋" w:hAnsi="仿宋" w:eastAsia="仿宋"/>
                <w:b/>
                <w:sz w:val="30"/>
                <w:szCs w:val="30"/>
                <w:lang w:val="en-US" w:eastAsia="zh-CN"/>
              </w:rPr>
            </w:pPr>
            <w:r>
              <w:rPr>
                <w:rFonts w:hint="eastAsia" w:ascii="仿宋" w:hAnsi="仿宋" w:eastAsia="仿宋"/>
                <w:b/>
                <w:sz w:val="30"/>
                <w:szCs w:val="30"/>
                <w:lang w:val="en-US" w:eastAsia="zh-CN"/>
              </w:rPr>
              <w:t>500</w:t>
            </w:r>
            <w:r>
              <w:rPr>
                <w:rFonts w:hint="eastAsia" w:ascii="仿宋" w:hAnsi="仿宋" w:eastAsia="仿宋"/>
                <w:b/>
                <w:sz w:val="30"/>
                <w:szCs w:val="30"/>
              </w:rPr>
              <w:t>元/</w:t>
            </w:r>
            <w:r>
              <w:rPr>
                <w:rFonts w:hint="eastAsia" w:ascii="仿宋" w:hAnsi="仿宋" w:eastAsia="仿宋"/>
                <w:b/>
                <w:sz w:val="30"/>
                <w:szCs w:val="30"/>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09" w:type="dxa"/>
            <w:vMerge w:val="continue"/>
          </w:tcPr>
          <w:p>
            <w:pPr>
              <w:jc w:val="left"/>
              <w:rPr>
                <w:rFonts w:ascii="仿宋" w:hAnsi="仿宋" w:eastAsia="仿宋"/>
                <w:b/>
                <w:sz w:val="30"/>
                <w:szCs w:val="30"/>
              </w:rPr>
            </w:pPr>
          </w:p>
        </w:tc>
        <w:tc>
          <w:tcPr>
            <w:tcW w:w="2127" w:type="dxa"/>
            <w:vMerge w:val="continue"/>
          </w:tcPr>
          <w:p>
            <w:pPr>
              <w:jc w:val="left"/>
              <w:rPr>
                <w:rFonts w:ascii="仿宋" w:hAnsi="仿宋" w:eastAsia="仿宋"/>
                <w:b/>
                <w:sz w:val="30"/>
                <w:szCs w:val="30"/>
              </w:rPr>
            </w:pPr>
          </w:p>
        </w:tc>
        <w:tc>
          <w:tcPr>
            <w:tcW w:w="3118" w:type="dxa"/>
            <w:vMerge w:val="continue"/>
          </w:tcPr>
          <w:p>
            <w:pPr>
              <w:jc w:val="left"/>
              <w:rPr>
                <w:rFonts w:ascii="仿宋" w:hAnsi="仿宋" w:eastAsia="仿宋"/>
                <w:b/>
                <w:sz w:val="30"/>
                <w:szCs w:val="30"/>
              </w:rPr>
            </w:pPr>
          </w:p>
        </w:tc>
      </w:tr>
    </w:tbl>
    <w:p>
      <w:pPr>
        <w:jc w:val="left"/>
        <w:rPr>
          <w:rFonts w:ascii="仿宋" w:hAnsi="仿宋" w:eastAsia="仿宋"/>
          <w:b/>
          <w:sz w:val="30"/>
          <w:szCs w:val="30"/>
        </w:rPr>
      </w:pPr>
    </w:p>
    <w:p>
      <w:p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widowControl w:val="0"/>
        <w:numPr>
          <w:ilvl w:val="0"/>
          <w:numId w:val="0"/>
        </w:numPr>
        <w:jc w:val="left"/>
        <w:rPr>
          <w:rFonts w:ascii="仿宋" w:hAnsi="仿宋" w:eastAsia="仿宋"/>
          <w:b/>
          <w:sz w:val="30"/>
          <w:szCs w:val="30"/>
        </w:rPr>
      </w:pPr>
    </w:p>
    <w:p>
      <w:pPr>
        <w:pStyle w:val="7"/>
        <w:numPr>
          <w:ilvl w:val="0"/>
          <w:numId w:val="0"/>
        </w:numPr>
        <w:ind w:left="210" w:leftChars="0"/>
        <w:jc w:val="left"/>
        <w:rPr>
          <w:rFonts w:ascii="仿宋" w:hAnsi="仿宋" w:eastAsia="仿宋"/>
          <w:b/>
          <w:sz w:val="30"/>
          <w:szCs w:val="30"/>
        </w:rPr>
      </w:pPr>
      <w:r>
        <w:rPr>
          <w:rFonts w:hint="eastAsia" w:ascii="仿宋" w:hAnsi="仿宋" w:eastAsia="仿宋"/>
          <w:b/>
          <w:sz w:val="30"/>
          <w:szCs w:val="30"/>
          <w:lang w:val="en-US" w:eastAsia="zh-CN"/>
        </w:rPr>
        <w:t>三、其它</w:t>
      </w:r>
      <w:r>
        <w:rPr>
          <w:rFonts w:hint="eastAsia" w:ascii="仿宋" w:hAnsi="仿宋" w:eastAsia="仿宋"/>
          <w:b/>
          <w:sz w:val="30"/>
          <w:szCs w:val="30"/>
        </w:rPr>
        <w:t>事项</w:t>
      </w:r>
    </w:p>
    <w:p>
      <w:pPr>
        <w:pStyle w:val="7"/>
        <w:numPr>
          <w:ilvl w:val="0"/>
          <w:numId w:val="2"/>
        </w:numPr>
        <w:autoSpaceDE w:val="0"/>
        <w:autoSpaceDN w:val="0"/>
        <w:adjustRightInd w:val="0"/>
        <w:ind w:firstLineChars="0"/>
        <w:jc w:val="left"/>
        <w:rPr>
          <w:rFonts w:ascii="仿宋" w:hAnsi="仿宋" w:eastAsia="仿宋" w:cs="仿宋_GB2312"/>
          <w:kern w:val="0"/>
          <w:sz w:val="30"/>
          <w:szCs w:val="30"/>
        </w:rPr>
      </w:pPr>
      <w:r>
        <w:rPr>
          <w:rFonts w:hint="eastAsia" w:ascii="仿宋" w:hAnsi="仿宋" w:eastAsia="仿宋" w:cs="仿宋_GB2312"/>
          <w:kern w:val="0"/>
          <w:sz w:val="30"/>
          <w:szCs w:val="30"/>
        </w:rPr>
        <w:t>研究生学业奖学金按年评定，按月核算（以</w:t>
      </w:r>
      <w:r>
        <w:rPr>
          <w:rFonts w:ascii="仿宋" w:hAnsi="仿宋" w:eastAsia="仿宋" w:cs="仿宋_GB2312"/>
          <w:kern w:val="0"/>
          <w:sz w:val="30"/>
          <w:szCs w:val="30"/>
        </w:rPr>
        <w:t>12</w:t>
      </w:r>
      <w:r>
        <w:rPr>
          <w:rFonts w:hint="eastAsia" w:ascii="仿宋" w:hAnsi="仿宋" w:eastAsia="仿宋" w:cs="仿宋_GB2312"/>
          <w:kern w:val="0"/>
          <w:sz w:val="30"/>
          <w:szCs w:val="30"/>
        </w:rPr>
        <w:t>个月</w:t>
      </w:r>
      <w:r>
        <w:rPr>
          <w:rFonts w:ascii="仿宋" w:hAnsi="仿宋" w:eastAsia="仿宋" w:cs="仿宋_GB2312"/>
          <w:kern w:val="0"/>
          <w:sz w:val="30"/>
          <w:szCs w:val="30"/>
        </w:rPr>
        <w:t>/</w:t>
      </w:r>
      <w:r>
        <w:rPr>
          <w:rFonts w:hint="eastAsia" w:ascii="仿宋" w:hAnsi="仿宋" w:eastAsia="仿宋" w:cs="仿宋_GB2312"/>
          <w:kern w:val="0"/>
          <w:sz w:val="30"/>
          <w:szCs w:val="30"/>
        </w:rPr>
        <w:t>年计），根据当年在校有效月数累计奖励金额，于年底前一次性发放</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lang w:val="en-US" w:eastAsia="zh-CN"/>
        </w:rPr>
        <w:t>预计2022年12月3日进卡</w:t>
      </w:r>
      <w:r>
        <w:rPr>
          <w:rFonts w:hint="eastAsia" w:ascii="仿宋" w:hAnsi="仿宋" w:eastAsia="仿宋" w:cs="仿宋_GB2312"/>
          <w:kern w:val="0"/>
          <w:sz w:val="30"/>
          <w:szCs w:val="30"/>
          <w:lang w:eastAsia="zh-CN"/>
        </w:rPr>
        <w:t>）</w:t>
      </w:r>
      <w:r>
        <w:rPr>
          <w:rFonts w:hint="eastAsia" w:ascii="仿宋" w:hAnsi="仿宋" w:eastAsia="仿宋" w:cs="仿宋_GB2312"/>
          <w:kern w:val="0"/>
          <w:sz w:val="30"/>
          <w:szCs w:val="30"/>
        </w:rPr>
        <w:t>；</w:t>
      </w:r>
    </w:p>
    <w:p>
      <w:pPr>
        <w:autoSpaceDE w:val="0"/>
        <w:autoSpaceDN w:val="0"/>
        <w:adjustRightInd w:val="0"/>
        <w:ind w:left="600" w:hanging="600" w:hangingChars="200"/>
        <w:jc w:val="left"/>
        <w:rPr>
          <w:rFonts w:ascii="仿宋" w:hAnsi="仿宋" w:eastAsia="仿宋" w:cs="仿宋_GB2312"/>
          <w:kern w:val="0"/>
          <w:sz w:val="30"/>
          <w:szCs w:val="30"/>
        </w:rPr>
      </w:pPr>
      <w:r>
        <w:rPr>
          <w:rFonts w:ascii="仿宋" w:hAnsi="仿宋" w:eastAsia="仿宋"/>
          <w:sz w:val="30"/>
          <w:szCs w:val="30"/>
        </w:rPr>
        <w:t>2</w:t>
      </w:r>
      <w:r>
        <w:rPr>
          <w:rFonts w:hint="eastAsia" w:ascii="仿宋" w:hAnsi="仿宋" w:eastAsia="仿宋"/>
          <w:sz w:val="30"/>
          <w:szCs w:val="30"/>
        </w:rPr>
        <w:t xml:space="preserve">， </w:t>
      </w:r>
      <w:r>
        <w:rPr>
          <w:rFonts w:hint="eastAsia" w:ascii="仿宋" w:hAnsi="仿宋" w:eastAsia="仿宋" w:cs="仿宋_GB2312"/>
          <w:kern w:val="0"/>
          <w:sz w:val="30"/>
          <w:szCs w:val="30"/>
        </w:rPr>
        <w:t>对于在基本学习年限内，经研究生院批准休学、学籍状态为休学的研究生，必须参与当年学业奖学金评定，在学业奖学金发放时，若研究生的学籍状态为休学，学业奖学金暂停发放。对于经研究生院批准复学的研究生，可补发基本学习年限内停发的学业奖学金。</w:t>
      </w:r>
    </w:p>
    <w:p>
      <w:pPr>
        <w:pStyle w:val="7"/>
        <w:ind w:left="480" w:firstLine="0" w:firstLineChars="0"/>
        <w:jc w:val="left"/>
        <w:rPr>
          <w:rFonts w:ascii="仿宋" w:hAnsi="仿宋" w:eastAsia="仿宋"/>
          <w:b/>
          <w:sz w:val="30"/>
          <w:szCs w:val="30"/>
        </w:rPr>
      </w:pPr>
    </w:p>
    <w:p>
      <w:pPr>
        <w:pStyle w:val="7"/>
        <w:ind w:left="480" w:firstLine="0" w:firstLineChars="0"/>
        <w:jc w:val="left"/>
        <w:rPr>
          <w:rFonts w:ascii="仿宋" w:hAnsi="仿宋" w:eastAsia="仿宋"/>
          <w:b/>
          <w:sz w:val="30"/>
          <w:szCs w:val="30"/>
        </w:rPr>
      </w:pPr>
      <w:r>
        <w:rPr>
          <w:rFonts w:hint="eastAsia" w:ascii="仿宋" w:hAnsi="仿宋" w:eastAsia="仿宋"/>
          <w:b/>
          <w:sz w:val="30"/>
          <w:szCs w:val="30"/>
        </w:rPr>
        <w:t xml:space="preserve">                                   化学化工学院</w:t>
      </w:r>
    </w:p>
    <w:p>
      <w:pPr>
        <w:pStyle w:val="7"/>
        <w:ind w:left="6023" w:hanging="6023" w:hangingChars="2000"/>
        <w:jc w:val="left"/>
        <w:rPr>
          <w:rFonts w:hint="default" w:ascii="仿宋" w:hAnsi="仿宋" w:eastAsia="仿宋"/>
          <w:b/>
          <w:sz w:val="30"/>
          <w:szCs w:val="30"/>
          <w:lang w:val="en-US" w:eastAsia="zh-CN"/>
        </w:rPr>
      </w:pPr>
      <w:r>
        <w:rPr>
          <w:rFonts w:hint="eastAsia" w:ascii="仿宋" w:hAnsi="仿宋" w:eastAsia="仿宋"/>
          <w:b/>
          <w:sz w:val="30"/>
          <w:szCs w:val="30"/>
        </w:rPr>
        <w:t xml:space="preserve">                                         </w:t>
      </w:r>
      <w:r>
        <w:rPr>
          <w:rFonts w:ascii="仿宋" w:hAnsi="仿宋" w:eastAsia="仿宋"/>
          <w:b/>
          <w:sz w:val="30"/>
          <w:szCs w:val="30"/>
        </w:rPr>
        <w:t>202</w:t>
      </w:r>
      <w:r>
        <w:rPr>
          <w:rFonts w:hint="eastAsia" w:ascii="仿宋" w:hAnsi="仿宋" w:eastAsia="仿宋"/>
          <w:b/>
          <w:sz w:val="30"/>
          <w:szCs w:val="30"/>
          <w:lang w:val="en-US" w:eastAsia="zh-CN"/>
        </w:rPr>
        <w:t>2.10</w:t>
      </w:r>
    </w:p>
    <w:p>
      <w:pPr>
        <w:ind w:left="562" w:hanging="562" w:hangingChars="200"/>
        <w:jc w:val="left"/>
        <w:rPr>
          <w:rFonts w:ascii="仿宋" w:hAnsi="仿宋" w:eastAsia="仿宋"/>
          <w:b/>
          <w:sz w:val="28"/>
          <w:szCs w:val="28"/>
        </w:rPr>
      </w:pPr>
    </w:p>
    <w:p>
      <w:pPr>
        <w:ind w:left="780"/>
        <w:rPr>
          <w:rFonts w:ascii="仿宋" w:hAnsi="仿宋" w:eastAsia="仿宋"/>
          <w:sz w:val="28"/>
          <w:szCs w:val="28"/>
        </w:rPr>
      </w:pPr>
    </w:p>
    <w:p>
      <w:pPr>
        <w:jc w:val="center"/>
        <w:rPr>
          <w:rFonts w:ascii="仿宋" w:hAnsi="仿宋" w:eastAsia="仿宋"/>
          <w:b/>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13460"/>
    <w:multiLevelType w:val="multilevel"/>
    <w:tmpl w:val="2AE13460"/>
    <w:lvl w:ilvl="0" w:tentative="0">
      <w:start w:val="1"/>
      <w:numFmt w:val="decimal"/>
      <w:lvlText w:val="%1、"/>
      <w:lvlJc w:val="left"/>
      <w:pPr>
        <w:tabs>
          <w:tab w:val="left" w:pos="360"/>
        </w:tabs>
        <w:ind w:left="360" w:hanging="360"/>
      </w:pPr>
      <w:rPr>
        <w:rFonts w:ascii="Times New Roman" w:hAnsi="Times New Roman" w:eastAsia="Times New Roman" w:cs="Times New Roman"/>
      </w:rPr>
    </w:lvl>
    <w:lvl w:ilvl="1" w:tentative="0">
      <w:start w:val="1"/>
      <w:numFmt w:val="decimalEnclosedCircle"/>
      <w:lvlText w:val="%2"/>
      <w:lvlJc w:val="left"/>
      <w:pPr>
        <w:tabs>
          <w:tab w:val="left" w:pos="780"/>
        </w:tabs>
        <w:ind w:left="780" w:hanging="360"/>
      </w:pPr>
      <w:rPr>
        <w:rFonts w:hint="default" w:ascii="宋体" w:hAnsi="宋体"/>
      </w:rPr>
    </w:lvl>
    <w:lvl w:ilvl="2" w:tentative="0">
      <w:start w:val="3"/>
      <w:numFmt w:val="decimal"/>
      <w:lvlText w:val="%3."/>
      <w:lvlJc w:val="left"/>
      <w:pPr>
        <w:tabs>
          <w:tab w:val="left" w:pos="1200"/>
        </w:tabs>
        <w:ind w:left="1200" w:hanging="360"/>
      </w:pPr>
      <w:rPr>
        <w:rFonts w:hint="default" w:hAnsi="Times New Roman"/>
      </w:rPr>
    </w:lvl>
    <w:lvl w:ilvl="3" w:tentative="0">
      <w:start w:val="2"/>
      <w:numFmt w:val="japaneseCounting"/>
      <w:lvlText w:val="%4、"/>
      <w:lvlJc w:val="left"/>
      <w:pPr>
        <w:ind w:left="1980" w:hanging="720"/>
      </w:pPr>
      <w:rPr>
        <w:rFonts w:hint="default" w:hAnsi="Times New Roman"/>
      </w:rPr>
    </w:lvl>
    <w:lvl w:ilvl="4" w:tentative="0">
      <w:start w:val="1"/>
      <w:numFmt w:val="decimal"/>
      <w:lvlText w:val="%5，"/>
      <w:lvlJc w:val="left"/>
      <w:pPr>
        <w:ind w:left="2400" w:hanging="720"/>
      </w:pPr>
      <w:rPr>
        <w:rFonts w:ascii="Arial" w:hAnsi="Arial" w:eastAsia="华文宋体" w:cs="Times New Roman"/>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D148FF"/>
    <w:multiLevelType w:val="multilevel"/>
    <w:tmpl w:val="4FD148F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OTg2ZDc2NDgyMzUyNjJmOWM3ODkyMmQ5NTU3OGYifQ=="/>
  </w:docVars>
  <w:rsids>
    <w:rsidRoot w:val="00F75B93"/>
    <w:rsid w:val="0000551B"/>
    <w:rsid w:val="000251CA"/>
    <w:rsid w:val="000650FC"/>
    <w:rsid w:val="00093EC2"/>
    <w:rsid w:val="00094673"/>
    <w:rsid w:val="000A61E3"/>
    <w:rsid w:val="000C2897"/>
    <w:rsid w:val="00141280"/>
    <w:rsid w:val="00156D8A"/>
    <w:rsid w:val="001622CA"/>
    <w:rsid w:val="00192B54"/>
    <w:rsid w:val="001E4B05"/>
    <w:rsid w:val="002377FE"/>
    <w:rsid w:val="002A6FB9"/>
    <w:rsid w:val="003233A4"/>
    <w:rsid w:val="00346577"/>
    <w:rsid w:val="00371D9B"/>
    <w:rsid w:val="004116CE"/>
    <w:rsid w:val="004571FF"/>
    <w:rsid w:val="00490DA6"/>
    <w:rsid w:val="004C26FA"/>
    <w:rsid w:val="005146CD"/>
    <w:rsid w:val="005328FB"/>
    <w:rsid w:val="00581F9D"/>
    <w:rsid w:val="00593A72"/>
    <w:rsid w:val="005B63AE"/>
    <w:rsid w:val="005C1528"/>
    <w:rsid w:val="005C2BFA"/>
    <w:rsid w:val="005F0B7F"/>
    <w:rsid w:val="005F3B7F"/>
    <w:rsid w:val="00622C56"/>
    <w:rsid w:val="00627E50"/>
    <w:rsid w:val="0064231A"/>
    <w:rsid w:val="007118B7"/>
    <w:rsid w:val="00713C7E"/>
    <w:rsid w:val="00726E63"/>
    <w:rsid w:val="00740785"/>
    <w:rsid w:val="007B0EC4"/>
    <w:rsid w:val="00803167"/>
    <w:rsid w:val="008D7756"/>
    <w:rsid w:val="008F2803"/>
    <w:rsid w:val="00912F81"/>
    <w:rsid w:val="00940C3C"/>
    <w:rsid w:val="00956418"/>
    <w:rsid w:val="00983992"/>
    <w:rsid w:val="009C1AA0"/>
    <w:rsid w:val="009C4A01"/>
    <w:rsid w:val="00A85AF3"/>
    <w:rsid w:val="00AB1908"/>
    <w:rsid w:val="00AD12D6"/>
    <w:rsid w:val="00B7016F"/>
    <w:rsid w:val="00B71832"/>
    <w:rsid w:val="00BD0F9E"/>
    <w:rsid w:val="00BF024C"/>
    <w:rsid w:val="00C05F17"/>
    <w:rsid w:val="00C3327D"/>
    <w:rsid w:val="00C40E69"/>
    <w:rsid w:val="00C82702"/>
    <w:rsid w:val="00CA584D"/>
    <w:rsid w:val="00CF40F4"/>
    <w:rsid w:val="00D101DF"/>
    <w:rsid w:val="00D47C5A"/>
    <w:rsid w:val="00D90B7D"/>
    <w:rsid w:val="00E04BB7"/>
    <w:rsid w:val="00E265FA"/>
    <w:rsid w:val="00E36384"/>
    <w:rsid w:val="00E36D8D"/>
    <w:rsid w:val="00F578B5"/>
    <w:rsid w:val="00F75B93"/>
    <w:rsid w:val="00FD61D1"/>
    <w:rsid w:val="00FE7AF6"/>
    <w:rsid w:val="20480264"/>
    <w:rsid w:val="20EE5C42"/>
    <w:rsid w:val="28E04C09"/>
    <w:rsid w:val="75294E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734</Words>
  <Characters>765</Characters>
  <Lines>6</Lines>
  <Paragraphs>1</Paragraphs>
  <TotalTime>0</TotalTime>
  <ScaleCrop>false</ScaleCrop>
  <LinksUpToDate>false</LinksUpToDate>
  <CharactersWithSpaces>844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2014-11-05T01:07:00Z</dcterms:created>
  <dc:creator>CINDY</dc:creator>
  <cp:lastModifiedBy>希妈cindy</cp:lastModifiedBy>
  <cp:lastPrinted>2016-03-24T06:50:00Z</cp:lastPrinted>
  <dcterms:modified xsi:type="dcterms:W3CDTF">2022-10-17T01:39:35Z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DCF05079765C44D0B258E73D195940FD</vt:lpwstr>
  </property>
</Properties>
</file>